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Nuovi impianti ed infrastrutture adibiti ad attivita' produttive, sportive e ricreative e postazioni di servizi commerciali polifunzionali - Autorizzazione (PdC) piu': a) comunicazione (se non si superano le soglie della zonizzazione comunale), b) (autorizzazione in caso di emissioni superiori ai limiti della zonizzazione). (La mappatura si riferisce al PdC)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delle autorizzazioni per nuovi impianti ed infrastrutture adibiti ad attivita' produttive, sportive e ricreative e postazioni di servizi commerciali polifunzionali.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Ci si riferisce a autorizzazione di nuovi impianti e infrastrutture adibiti ad attivita' produttive, sportive e ricreative e a postazione di servizi commerciali polifunzionale, di provvedimenti comunali che abilitano alla utilizzazione dei medesimi immobili e infrastrutture, nonche' domande di licenza o di autorizzazione all'esercizio di attivita' produttive soggette a documentazione di impatto acustico.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documentazione o l'istanza debbono essere presentate, unitamente alle altre istanze, allo sportello unico del Comune contestualmente alla domanda di rilascio del permesso di costruire.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241/1990 -D.Lgs. n. 82/2005 - L. 190/2012 - D.Lgs.n. 33/2013 - DPR n. 62/2013 - Statuto - Regolamento sul procedimento amministrativo - L. 447/1995 - Legge quadro sull'inquinamento acustico - D.Lgs. 267/2000 T.U.E.L. - D.P.R. 227/2011 - Regolamento per la semplificazione di adempimenti amministrativi in materia ambientale gravanti sulle imprese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 con provvedimento espresso: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 e Permesso di costruire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